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83A3" w14:textId="4F71C182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b/>
          <w:bCs/>
          <w:sz w:val="20"/>
          <w:szCs w:val="20"/>
        </w:rPr>
        <w:t>Document Title:</w:t>
      </w:r>
      <w:r w:rsidRPr="001C53BC">
        <w:rPr>
          <w:sz w:val="20"/>
          <w:szCs w:val="20"/>
        </w:rPr>
        <w:t xml:space="preserve"> Confidentiality Policy</w:t>
      </w:r>
      <w:r w:rsidRPr="001C53BC">
        <w:rPr>
          <w:sz w:val="20"/>
          <w:szCs w:val="20"/>
        </w:rPr>
        <w:br/>
      </w:r>
      <w:r w:rsidRPr="001C53BC">
        <w:rPr>
          <w:sz w:val="20"/>
          <w:szCs w:val="20"/>
        </w:rPr>
        <w:pict w14:anchorId="7CCD6752">
          <v:rect id="_x0000_i1121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1. Purpose</w:t>
      </w:r>
    </w:p>
    <w:p w14:paraId="7CB0B36B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 xml:space="preserve">The purpose of this policy is to establish the principles and requirements for protecting the confidentiality, integrity, and controlled use of information obtained or generated during certification activities conducted by </w:t>
      </w: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– Quality Group Certification LLP.</w:t>
      </w:r>
    </w:p>
    <w:p w14:paraId="21DFFA59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recognizes that confidentiality is essential to maintaining the trust of candidates, certified </w:t>
      </w:r>
      <w:proofErr w:type="gramStart"/>
      <w:r w:rsidRPr="001C53BC">
        <w:rPr>
          <w:sz w:val="20"/>
          <w:szCs w:val="20"/>
        </w:rPr>
        <w:t>persons</w:t>
      </w:r>
      <w:proofErr w:type="gramEnd"/>
      <w:r w:rsidRPr="001C53BC">
        <w:rPr>
          <w:sz w:val="20"/>
          <w:szCs w:val="20"/>
        </w:rPr>
        <w:t>, employers, accreditation bodies, regulatory authorities, examination personnel, and other interested parties. All information obtained during certification activities shall be managed responsibly and protected against unauthorized disclosure, access, alteration, loss, or misuse.</w:t>
      </w:r>
    </w:p>
    <w:p w14:paraId="2893E028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6F01B105">
          <v:rect id="_x0000_i1122" style="width:0;height:1.5pt" o:hralign="center" o:hrstd="t" o:hr="t" fillcolor="#a0a0a0" stroked="f"/>
        </w:pict>
      </w:r>
    </w:p>
    <w:p w14:paraId="4C0B1E5F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2. Scope</w:t>
      </w:r>
    </w:p>
    <w:p w14:paraId="6198F30F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This policy applies to all information and records associated with:</w:t>
      </w:r>
    </w:p>
    <w:p w14:paraId="43B16A67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Candidate applications</w:t>
      </w:r>
    </w:p>
    <w:p w14:paraId="084BD719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Eligibility verification</w:t>
      </w:r>
    </w:p>
    <w:p w14:paraId="6087A037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Examination materials and question banks</w:t>
      </w:r>
    </w:p>
    <w:p w14:paraId="4E1A386B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Examination results and assessment records</w:t>
      </w:r>
    </w:p>
    <w:p w14:paraId="5EF343ED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Certification decisions</w:t>
      </w:r>
    </w:p>
    <w:p w14:paraId="3581B9E2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Recertification activities</w:t>
      </w:r>
    </w:p>
    <w:p w14:paraId="4CC4E453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Appeals and complaints</w:t>
      </w:r>
    </w:p>
    <w:p w14:paraId="38781A19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Personnel competence records</w:t>
      </w:r>
    </w:p>
    <w:p w14:paraId="728DF1AB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Outsourced service provider records</w:t>
      </w:r>
    </w:p>
    <w:p w14:paraId="4A7D1CFD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Internal audits and management reviews</w:t>
      </w:r>
    </w:p>
    <w:p w14:paraId="3CCDF718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Risk assessments and impartiality reviews</w:t>
      </w:r>
    </w:p>
    <w:p w14:paraId="448D1DBF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Electronic and physical records</w:t>
      </w:r>
    </w:p>
    <w:p w14:paraId="74BB13E8" w14:textId="77777777" w:rsidR="001C53BC" w:rsidRPr="001C53BC" w:rsidRDefault="001C53BC" w:rsidP="001C53BC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Information received from external parties</w:t>
      </w:r>
    </w:p>
    <w:p w14:paraId="47F79E39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This policy applies to all personnel involved in certification activities including employees, examiners, invigilators, assessors, technical experts, committee members, contractors, consultants, outsourced service providers, and temporary personnel.</w:t>
      </w:r>
    </w:p>
    <w:p w14:paraId="017DBCC3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2EF0ECF3">
          <v:rect id="_x0000_i1123" style="width:0;height:1.5pt" o:hralign="center" o:hrstd="t" o:hr="t" fillcolor="#a0a0a0" stroked="f"/>
        </w:pict>
      </w:r>
    </w:p>
    <w:p w14:paraId="470CD7DB" w14:textId="77777777" w:rsidR="001C53BC" w:rsidRDefault="001C53BC" w:rsidP="001C53BC">
      <w:pPr>
        <w:spacing w:line="240" w:lineRule="auto"/>
        <w:rPr>
          <w:b/>
          <w:bCs/>
          <w:sz w:val="20"/>
          <w:szCs w:val="20"/>
        </w:rPr>
      </w:pPr>
    </w:p>
    <w:p w14:paraId="4FBF4654" w14:textId="28F7D756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lastRenderedPageBreak/>
        <w:t>3. Policy Statement</w:t>
      </w:r>
    </w:p>
    <w:p w14:paraId="77F9D4E9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is committed to maintaining the confidentiality of all information obtained or created during certification activities and shall ensure that such information is used only for its intended purpose.</w:t>
      </w:r>
    </w:p>
    <w:p w14:paraId="4669F67D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shall:</w:t>
      </w:r>
    </w:p>
    <w:p w14:paraId="6A21FF63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Protect confidential information from unauthorized access, disclosure, modification, or destruction.</w:t>
      </w:r>
    </w:p>
    <w:p w14:paraId="354F5AF9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Maintain secure systems for information storage and processing.</w:t>
      </w:r>
    </w:p>
    <w:p w14:paraId="4061CC69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Restrict access to authorized personnel on a need-to-know basis.</w:t>
      </w:r>
    </w:p>
    <w:p w14:paraId="02EBBCB4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Ensure examination materials remain secure and confidential.</w:t>
      </w:r>
    </w:p>
    <w:p w14:paraId="28B2EFBA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Require personnel and external providers to maintain confidentiality.</w:t>
      </w:r>
    </w:p>
    <w:p w14:paraId="73A37E19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Comply with applicable legal, contractual, accreditation, and regulatory requirements.</w:t>
      </w:r>
    </w:p>
    <w:p w14:paraId="62297985" w14:textId="77777777" w:rsidR="001C53BC" w:rsidRPr="001C53BC" w:rsidRDefault="001C53BC" w:rsidP="001C53BC">
      <w:pPr>
        <w:numPr>
          <w:ilvl w:val="0"/>
          <w:numId w:val="2"/>
        </w:num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Investigate and address any breach of confidentiality.</w:t>
      </w:r>
    </w:p>
    <w:p w14:paraId="4D22E719" w14:textId="5C1A386F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6BBF01EA">
          <v:rect id="_x0000_i1211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4. Classification of Information</w:t>
      </w:r>
    </w:p>
    <w:p w14:paraId="4F08821F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For effective control, information shall be classified as follows:</w:t>
      </w:r>
    </w:p>
    <w:p w14:paraId="1474C983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4.1 Public Information</w:t>
      </w:r>
    </w:p>
    <w:p w14:paraId="5F636FCB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Information that may be publicly disclosed, including:</w:t>
      </w:r>
    </w:p>
    <w:p w14:paraId="04C4AA59" w14:textId="77777777" w:rsidR="001C53BC" w:rsidRPr="001C53BC" w:rsidRDefault="001C53BC" w:rsidP="001C53B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Certification schemes</w:t>
      </w:r>
    </w:p>
    <w:p w14:paraId="07C7C584" w14:textId="77777777" w:rsidR="001C53BC" w:rsidRPr="001C53BC" w:rsidRDefault="001C53BC" w:rsidP="001C53B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Published certification requirements</w:t>
      </w:r>
    </w:p>
    <w:p w14:paraId="15F120BD" w14:textId="77777777" w:rsidR="001C53BC" w:rsidRPr="001C53BC" w:rsidRDefault="001C53BC" w:rsidP="001C53B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Public certification registers</w:t>
      </w:r>
    </w:p>
    <w:p w14:paraId="5E81A695" w14:textId="77777777" w:rsidR="001C53BC" w:rsidRPr="001C53BC" w:rsidRDefault="001C53BC" w:rsidP="001C53B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Public policies</w:t>
      </w:r>
    </w:p>
    <w:p w14:paraId="2EE09D9D" w14:textId="77777777" w:rsidR="001C53BC" w:rsidRPr="001C53BC" w:rsidRDefault="001C53BC" w:rsidP="001C53B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Approved promotional information</w:t>
      </w:r>
    </w:p>
    <w:p w14:paraId="1F23B381" w14:textId="0A8B7E88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4.2 Internal Information</w:t>
      </w:r>
      <w:r>
        <w:rPr>
          <w:b/>
          <w:bCs/>
          <w:sz w:val="20"/>
          <w:szCs w:val="20"/>
        </w:rPr>
        <w:br/>
      </w:r>
      <w:proofErr w:type="spellStart"/>
      <w:r w:rsidRPr="001C53BC">
        <w:rPr>
          <w:sz w:val="20"/>
          <w:szCs w:val="20"/>
        </w:rPr>
        <w:t>Information</w:t>
      </w:r>
      <w:proofErr w:type="spellEnd"/>
      <w:r w:rsidRPr="001C53BC">
        <w:rPr>
          <w:sz w:val="20"/>
          <w:szCs w:val="20"/>
        </w:rPr>
        <w:t xml:space="preserve"> intended for internal operational use only, including:</w:t>
      </w:r>
    </w:p>
    <w:p w14:paraId="37AA12A3" w14:textId="77777777" w:rsidR="001C53BC" w:rsidRPr="001C53BC" w:rsidRDefault="001C53BC" w:rsidP="001C53BC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Procedures</w:t>
      </w:r>
    </w:p>
    <w:p w14:paraId="1299C897" w14:textId="77777777" w:rsidR="001C53BC" w:rsidRPr="001C53BC" w:rsidRDefault="001C53BC" w:rsidP="001C53BC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Forms</w:t>
      </w:r>
    </w:p>
    <w:p w14:paraId="30B1065F" w14:textId="77777777" w:rsidR="001C53BC" w:rsidRPr="001C53BC" w:rsidRDefault="001C53BC" w:rsidP="001C53BC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Internal reports</w:t>
      </w:r>
    </w:p>
    <w:p w14:paraId="124E4939" w14:textId="77777777" w:rsidR="001C53BC" w:rsidRPr="001C53BC" w:rsidRDefault="001C53BC" w:rsidP="001C53BC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Administrative communications</w:t>
      </w:r>
    </w:p>
    <w:p w14:paraId="605BD9F6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4.3 Confidential Information</w:t>
      </w:r>
    </w:p>
    <w:p w14:paraId="3EC58C6E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Information requiring protection and restricted access, including:</w:t>
      </w:r>
    </w:p>
    <w:p w14:paraId="3BA93E8A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Candidate records</w:t>
      </w:r>
    </w:p>
    <w:p w14:paraId="66D10128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papers</w:t>
      </w:r>
    </w:p>
    <w:p w14:paraId="7B26513E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Question banks</w:t>
      </w:r>
    </w:p>
    <w:p w14:paraId="08079F14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Assessment records</w:t>
      </w:r>
    </w:p>
    <w:p w14:paraId="276E76F1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results</w:t>
      </w:r>
    </w:p>
    <w:p w14:paraId="53D5C9A0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Certification decisions</w:t>
      </w:r>
    </w:p>
    <w:p w14:paraId="4BA4E34E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Complaint records</w:t>
      </w:r>
    </w:p>
    <w:p w14:paraId="0FB0FB8F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Appeal records</w:t>
      </w:r>
    </w:p>
    <w:p w14:paraId="13AF56B9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Personnel records</w:t>
      </w:r>
    </w:p>
    <w:p w14:paraId="489EAC68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Internal audit reports</w:t>
      </w:r>
    </w:p>
    <w:p w14:paraId="0A48EA46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Risk assessments</w:t>
      </w:r>
    </w:p>
    <w:p w14:paraId="2A5046C3" w14:textId="77777777" w:rsidR="001C53BC" w:rsidRPr="001C53BC" w:rsidRDefault="001C53BC" w:rsidP="001C53BC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Business information</w:t>
      </w:r>
    </w:p>
    <w:p w14:paraId="6E5D6A0E" w14:textId="3B7E9365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19B94D78">
          <v:rect id="_x0000_i1207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5. Protection of Candidate Information</w:t>
      </w:r>
    </w:p>
    <w:p w14:paraId="10BA7FDE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maintain the confidentiality of all candidate information obtained during certification activities.</w:t>
      </w:r>
    </w:p>
    <w:p w14:paraId="5DC826F6" w14:textId="77777777" w:rsidR="001C53BC" w:rsidRPr="001C53BC" w:rsidRDefault="001C53BC" w:rsidP="001C53BC">
      <w:pPr>
        <w:spacing w:line="240" w:lineRule="auto"/>
        <w:jc w:val="both"/>
        <w:rPr>
          <w:sz w:val="20"/>
          <w:szCs w:val="20"/>
        </w:rPr>
      </w:pPr>
      <w:r w:rsidRPr="001C53BC">
        <w:rPr>
          <w:sz w:val="20"/>
          <w:szCs w:val="20"/>
        </w:rPr>
        <w:t>Confidential candidate information includes:</w:t>
      </w:r>
    </w:p>
    <w:p w14:paraId="628B97DD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Personal identification information</w:t>
      </w:r>
    </w:p>
    <w:p w14:paraId="204DD3BA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Contact details</w:t>
      </w:r>
    </w:p>
    <w:p w14:paraId="64C04343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Academic qualifications</w:t>
      </w:r>
    </w:p>
    <w:p w14:paraId="3EE14020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Professional experience records</w:t>
      </w:r>
    </w:p>
    <w:p w14:paraId="6265DCD8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records</w:t>
      </w:r>
    </w:p>
    <w:p w14:paraId="78D646C6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Assessment results</w:t>
      </w:r>
    </w:p>
    <w:p w14:paraId="4F6600E1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Certification status</w:t>
      </w:r>
    </w:p>
    <w:p w14:paraId="173CA7C2" w14:textId="77777777" w:rsidR="001C53BC" w:rsidRPr="001C53BC" w:rsidRDefault="001C53BC" w:rsidP="001C53BC">
      <w:pPr>
        <w:numPr>
          <w:ilvl w:val="0"/>
          <w:numId w:val="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Appeal and complaint submissions</w:t>
      </w:r>
    </w:p>
    <w:p w14:paraId="59506F82" w14:textId="50111C7C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Such information shall not be disclosed without authorization except as specified within this policy.</w:t>
      </w:r>
      <w:r w:rsidRPr="001C53BC">
        <w:rPr>
          <w:sz w:val="20"/>
          <w:szCs w:val="20"/>
        </w:rPr>
        <w:pict w14:anchorId="74DDB7F4">
          <v:rect id="_x0000_i1126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6. Examination Confidentiality</w:t>
      </w:r>
    </w:p>
    <w:p w14:paraId="7DD2B9BF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implement strict controls to protect examination materials.</w:t>
      </w:r>
    </w:p>
    <w:p w14:paraId="182CC754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The following shall be treated as highly confidential:</w:t>
      </w:r>
    </w:p>
    <w:p w14:paraId="08E7AD92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Question banks</w:t>
      </w:r>
    </w:p>
    <w:p w14:paraId="3AFA7B87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papers</w:t>
      </w:r>
    </w:p>
    <w:p w14:paraId="3661BA71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Marking schemes</w:t>
      </w:r>
    </w:p>
    <w:p w14:paraId="5E3A5711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Practical assessment materials</w:t>
      </w:r>
    </w:p>
    <w:p w14:paraId="7F2B1518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Assessment criteria</w:t>
      </w:r>
    </w:p>
    <w:p w14:paraId="32D52577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Statistical analysis reports</w:t>
      </w:r>
    </w:p>
    <w:p w14:paraId="360B27DD" w14:textId="77777777" w:rsidR="001C53BC" w:rsidRPr="001C53BC" w:rsidRDefault="001C53BC" w:rsidP="001C53BC">
      <w:pPr>
        <w:numPr>
          <w:ilvl w:val="0"/>
          <w:numId w:val="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security records</w:t>
      </w:r>
    </w:p>
    <w:p w14:paraId="650516C2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Access shall be limited to authorized personnel who require such information for legitimate certification activities.</w:t>
      </w:r>
    </w:p>
    <w:p w14:paraId="25E839C5" w14:textId="323F1523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Personnel granted access shall sign confidentiality agreements.</w:t>
      </w:r>
      <w:r w:rsidRPr="001C53BC">
        <w:rPr>
          <w:sz w:val="20"/>
          <w:szCs w:val="20"/>
        </w:rPr>
        <w:pict w14:anchorId="78E6F0CA">
          <v:rect id="_x0000_i1127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7. Access Control</w:t>
      </w:r>
    </w:p>
    <w:p w14:paraId="58FD0BF0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</w:t>
      </w:r>
      <w:proofErr w:type="gramStart"/>
      <w:r w:rsidRPr="001C53BC">
        <w:rPr>
          <w:sz w:val="20"/>
          <w:szCs w:val="20"/>
        </w:rPr>
        <w:t>shall</w:t>
      </w:r>
      <w:proofErr w:type="gramEnd"/>
      <w:r w:rsidRPr="001C53BC">
        <w:rPr>
          <w:sz w:val="20"/>
          <w:szCs w:val="20"/>
        </w:rPr>
        <w:t xml:space="preserve"> establish access controls to ensure that confidential information is available only to authorized </w:t>
      </w:r>
      <w:proofErr w:type="gramStart"/>
      <w:r w:rsidRPr="001C53BC">
        <w:rPr>
          <w:sz w:val="20"/>
          <w:szCs w:val="20"/>
        </w:rPr>
        <w:t>persons</w:t>
      </w:r>
      <w:proofErr w:type="gramEnd"/>
      <w:r w:rsidRPr="001C53BC">
        <w:rPr>
          <w:sz w:val="20"/>
          <w:szCs w:val="20"/>
        </w:rPr>
        <w:t>.</w:t>
      </w:r>
    </w:p>
    <w:p w14:paraId="7EBFDA10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Access controls shall include:</w:t>
      </w:r>
    </w:p>
    <w:p w14:paraId="211D9CE3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User authorization controls</w:t>
      </w:r>
    </w:p>
    <w:p w14:paraId="08187AB9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Password-protected systems</w:t>
      </w:r>
    </w:p>
    <w:p w14:paraId="2E28BEE9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Role-based access permissions</w:t>
      </w:r>
    </w:p>
    <w:p w14:paraId="6C30B0DB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Controlled document distribution</w:t>
      </w:r>
    </w:p>
    <w:p w14:paraId="22FDB4F3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 physical storage</w:t>
      </w:r>
    </w:p>
    <w:p w14:paraId="7A139DA0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Visitor restrictions</w:t>
      </w:r>
    </w:p>
    <w:p w14:paraId="5D92EAAD" w14:textId="77777777" w:rsidR="001C53BC" w:rsidRPr="001C53BC" w:rsidRDefault="001C53BC" w:rsidP="001C53BC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Examination material security measures</w:t>
      </w:r>
    </w:p>
    <w:p w14:paraId="525BAD50" w14:textId="19460974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Access rights shall be reviewed periodically.</w:t>
      </w:r>
      <w:r w:rsidRPr="001C53BC">
        <w:rPr>
          <w:sz w:val="20"/>
          <w:szCs w:val="20"/>
        </w:rPr>
        <w:pict w14:anchorId="4EB07DFA">
          <v:rect id="_x0000_i1128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8. Confidentiality Obligations of Personnel</w:t>
      </w:r>
    </w:p>
    <w:p w14:paraId="2214AA49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All personnel involved in certification activities shall:</w:t>
      </w:r>
    </w:p>
    <w:p w14:paraId="0DD56C4B" w14:textId="77777777" w:rsidR="001C53BC" w:rsidRPr="001C53BC" w:rsidRDefault="001C53BC" w:rsidP="001C53BC">
      <w:pPr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Sign confidentiality agreements before undertaking duties.</w:t>
      </w:r>
    </w:p>
    <w:p w14:paraId="4FA82E72" w14:textId="77777777" w:rsidR="001C53BC" w:rsidRPr="001C53BC" w:rsidRDefault="001C53BC" w:rsidP="001C53BC">
      <w:pPr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Protect confidential information from unauthorized disclosure.</w:t>
      </w:r>
    </w:p>
    <w:p w14:paraId="020AA3E9" w14:textId="77777777" w:rsidR="001C53BC" w:rsidRPr="001C53BC" w:rsidRDefault="001C53BC" w:rsidP="001C53BC">
      <w:pPr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Use information only for authorized purposes.</w:t>
      </w:r>
    </w:p>
    <w:p w14:paraId="6D3EC29C" w14:textId="77777777" w:rsidR="001C53BC" w:rsidRPr="001C53BC" w:rsidRDefault="001C53BC" w:rsidP="001C53BC">
      <w:pPr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Return or securely destroy confidential materials when required.</w:t>
      </w:r>
    </w:p>
    <w:p w14:paraId="1BBCD7E2" w14:textId="77777777" w:rsidR="001C53BC" w:rsidRPr="001C53BC" w:rsidRDefault="001C53BC" w:rsidP="001C53BC">
      <w:pPr>
        <w:numPr>
          <w:ilvl w:val="0"/>
          <w:numId w:val="9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Report suspected confidentiality breaches immediately.</w:t>
      </w:r>
    </w:p>
    <w:p w14:paraId="0D00F64D" w14:textId="12E84CE9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Confidentiality obligations shall continue even after employment, contract, or assignment termination.</w:t>
      </w:r>
      <w:r w:rsidRPr="001C53BC">
        <w:rPr>
          <w:sz w:val="20"/>
          <w:szCs w:val="20"/>
        </w:rPr>
        <w:pict w14:anchorId="63DDBEC1">
          <v:rect id="_x0000_i1129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9. Outsourced Service Providers</w:t>
      </w:r>
    </w:p>
    <w:p w14:paraId="78F5A710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 xml:space="preserve">Where certification activities are outsourced, </w:t>
      </w: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ensure that outsourced providers:</w:t>
      </w:r>
    </w:p>
    <w:p w14:paraId="0316F6C9" w14:textId="77777777" w:rsidR="001C53BC" w:rsidRPr="001C53BC" w:rsidRDefault="001C53BC" w:rsidP="001C53BC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Sign confidentiality agreements.</w:t>
      </w:r>
    </w:p>
    <w:p w14:paraId="23062974" w14:textId="77777777" w:rsidR="001C53BC" w:rsidRPr="001C53BC" w:rsidRDefault="001C53BC" w:rsidP="001C53BC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Protect all confidential information received.</w:t>
      </w:r>
    </w:p>
    <w:p w14:paraId="3E7115F8" w14:textId="77777777" w:rsidR="001C53BC" w:rsidRPr="001C53BC" w:rsidRDefault="001C53BC" w:rsidP="001C53BC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Implement appropriate information security controls.</w:t>
      </w:r>
    </w:p>
    <w:p w14:paraId="136498DF" w14:textId="77777777" w:rsidR="001C53BC" w:rsidRPr="001C53BC" w:rsidRDefault="001C53BC" w:rsidP="001C53BC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Restrict access to authorized personnel only.</w:t>
      </w:r>
    </w:p>
    <w:p w14:paraId="15496B52" w14:textId="77777777" w:rsidR="001C53BC" w:rsidRPr="001C53BC" w:rsidRDefault="001C53BC" w:rsidP="001C53BC">
      <w:pPr>
        <w:numPr>
          <w:ilvl w:val="0"/>
          <w:numId w:val="10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 xml:space="preserve">Comply with </w:t>
      </w: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confidentiality requirements.</w:t>
      </w:r>
    </w:p>
    <w:p w14:paraId="3CA6E721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retain overall responsibility for confidentiality of outsourced activities.</w:t>
      </w:r>
    </w:p>
    <w:p w14:paraId="4613AC69" w14:textId="3DE45A84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4CEBD146">
          <v:rect id="_x0000_i1130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10. Information Security Controls</w:t>
      </w:r>
    </w:p>
    <w:p w14:paraId="7BCA1653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maintain appropriate measures to safeguard information, including:</w:t>
      </w:r>
    </w:p>
    <w:p w14:paraId="12C77AB9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Physical Controls</w:t>
      </w:r>
    </w:p>
    <w:p w14:paraId="09BBB565" w14:textId="77777777" w:rsidR="001C53BC" w:rsidRPr="001C53BC" w:rsidRDefault="001C53BC" w:rsidP="001C53BC">
      <w:pPr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Locked cabinets</w:t>
      </w:r>
    </w:p>
    <w:p w14:paraId="012AA149" w14:textId="77777777" w:rsidR="001C53BC" w:rsidRPr="001C53BC" w:rsidRDefault="001C53BC" w:rsidP="001C53BC">
      <w:pPr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Controlled office access</w:t>
      </w:r>
    </w:p>
    <w:p w14:paraId="5B7A2CD5" w14:textId="77777777" w:rsidR="001C53BC" w:rsidRPr="001C53BC" w:rsidRDefault="001C53BC" w:rsidP="001C53BC">
      <w:pPr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 storage rooms</w:t>
      </w:r>
    </w:p>
    <w:p w14:paraId="7916D3E0" w14:textId="77777777" w:rsidR="001C53BC" w:rsidRPr="001C53BC" w:rsidRDefault="001C53BC" w:rsidP="001C53BC">
      <w:pPr>
        <w:numPr>
          <w:ilvl w:val="0"/>
          <w:numId w:val="11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Visitor controls</w:t>
      </w:r>
    </w:p>
    <w:p w14:paraId="7BCB1E46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Electronic Controls</w:t>
      </w:r>
    </w:p>
    <w:p w14:paraId="3A5564D5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Password protection</w:t>
      </w:r>
    </w:p>
    <w:p w14:paraId="790A0D87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User authentication</w:t>
      </w:r>
    </w:p>
    <w:p w14:paraId="11B5DF32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Access restrictions</w:t>
      </w:r>
    </w:p>
    <w:p w14:paraId="09402B0D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 backups</w:t>
      </w:r>
    </w:p>
    <w:p w14:paraId="7DC059CD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Anti-malware protection</w:t>
      </w:r>
    </w:p>
    <w:p w14:paraId="574203A2" w14:textId="77777777" w:rsidR="001C53BC" w:rsidRPr="001C53BC" w:rsidRDefault="001C53BC" w:rsidP="001C53BC">
      <w:pPr>
        <w:numPr>
          <w:ilvl w:val="0"/>
          <w:numId w:val="12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Encrypted data storage where applicable</w:t>
      </w:r>
    </w:p>
    <w:p w14:paraId="1A9248ED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Operational Controls</w:t>
      </w:r>
    </w:p>
    <w:p w14:paraId="79047539" w14:textId="77777777" w:rsidR="001C53BC" w:rsidRPr="001C53BC" w:rsidRDefault="001C53BC" w:rsidP="001C53BC">
      <w:pPr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Controlled document management</w:t>
      </w:r>
    </w:p>
    <w:p w14:paraId="3B1216B3" w14:textId="77777777" w:rsidR="001C53BC" w:rsidRPr="001C53BC" w:rsidRDefault="001C53BC" w:rsidP="001C53BC">
      <w:pPr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Record retention controls</w:t>
      </w:r>
    </w:p>
    <w:p w14:paraId="3FFDA8C5" w14:textId="77777777" w:rsidR="001C53BC" w:rsidRPr="001C53BC" w:rsidRDefault="001C53BC" w:rsidP="001C53BC">
      <w:pPr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Information disposal procedures</w:t>
      </w:r>
    </w:p>
    <w:p w14:paraId="01405BF2" w14:textId="77777777" w:rsidR="001C53BC" w:rsidRPr="001C53BC" w:rsidRDefault="001C53BC" w:rsidP="001C53BC">
      <w:pPr>
        <w:numPr>
          <w:ilvl w:val="0"/>
          <w:numId w:val="13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Periodic access reviews</w:t>
      </w:r>
    </w:p>
    <w:p w14:paraId="24403C43" w14:textId="279C9A9E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0DC83822">
          <v:rect id="_x0000_i1131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11. Disclosure of Information</w:t>
      </w:r>
    </w:p>
    <w:p w14:paraId="4F549D1C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Information shall only be disclosed under the following circumstances:</w:t>
      </w:r>
    </w:p>
    <w:p w14:paraId="7C1C174B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a) Candidate Authorization</w:t>
      </w:r>
    </w:p>
    <w:p w14:paraId="5CB691C7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Where written consent has been obtained from the candidate or certified person.</w:t>
      </w:r>
    </w:p>
    <w:p w14:paraId="6303711B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b) Legal Requirement</w:t>
      </w:r>
    </w:p>
    <w:p w14:paraId="161715A4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Where disclosure is required by:</w:t>
      </w:r>
    </w:p>
    <w:p w14:paraId="0EA5FF96" w14:textId="77777777" w:rsidR="001C53BC" w:rsidRPr="001C53BC" w:rsidRDefault="001C53BC" w:rsidP="001C53BC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Courts</w:t>
      </w:r>
    </w:p>
    <w:p w14:paraId="114ACA27" w14:textId="77777777" w:rsidR="001C53BC" w:rsidRPr="001C53BC" w:rsidRDefault="001C53BC" w:rsidP="001C53BC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Government authorities</w:t>
      </w:r>
    </w:p>
    <w:p w14:paraId="7D39F788" w14:textId="77777777" w:rsidR="001C53BC" w:rsidRPr="001C53BC" w:rsidRDefault="001C53BC" w:rsidP="001C53BC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Regulatory agencies</w:t>
      </w:r>
    </w:p>
    <w:p w14:paraId="33DA138B" w14:textId="77777777" w:rsidR="001C53BC" w:rsidRPr="001C53BC" w:rsidRDefault="001C53BC" w:rsidP="001C53BC">
      <w:pPr>
        <w:numPr>
          <w:ilvl w:val="0"/>
          <w:numId w:val="14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Applicable legislation</w:t>
      </w:r>
    </w:p>
    <w:p w14:paraId="502C8E24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 xml:space="preserve">Where legally permitted, </w:t>
      </w: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shall notify the affected individual before disclosure.</w:t>
      </w:r>
    </w:p>
    <w:p w14:paraId="5855E254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c) Accreditation Requirements</w:t>
      </w:r>
    </w:p>
    <w:p w14:paraId="71D895E4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Information may be disclosed to accreditation bodies and their assessors during accreditation assessments, surveillance visits, investigations, or other authorized activities.</w:t>
      </w:r>
    </w:p>
    <w:p w14:paraId="1CFB42D1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d) Public Certification Status</w:t>
      </w:r>
    </w:p>
    <w:p w14:paraId="2F696EF8" w14:textId="3A960077" w:rsidR="001C53BC" w:rsidRPr="001C53BC" w:rsidRDefault="001C53BC" w:rsidP="001C53BC">
      <w:pPr>
        <w:spacing w:line="240" w:lineRule="auto"/>
        <w:rPr>
          <w:sz w:val="20"/>
          <w:szCs w:val="20"/>
        </w:rPr>
      </w:pP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may publish or verify certification status information as defined within its certification policies and public register procedures.</w:t>
      </w:r>
      <w:r w:rsidRPr="001C53BC">
        <w:rPr>
          <w:sz w:val="20"/>
          <w:szCs w:val="20"/>
        </w:rPr>
        <w:pict w14:anchorId="551E31B0">
          <v:rect id="_x0000_i1132" style="width:0;height:1.5pt" o:hralign="center" o:hrstd="t" o:hr="t" fillcolor="#a0a0a0" stroked="f"/>
        </w:pict>
      </w:r>
      <w:r w:rsidRPr="001C53BC">
        <w:rPr>
          <w:b/>
          <w:bCs/>
          <w:sz w:val="20"/>
          <w:szCs w:val="20"/>
        </w:rPr>
        <w:t>12. Confidentiality Breaches</w:t>
      </w:r>
    </w:p>
    <w:p w14:paraId="7AD2DE95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Any actual or suspected breach of confidentiality shall be:</w:t>
      </w:r>
    </w:p>
    <w:p w14:paraId="06B1E6B4" w14:textId="77777777" w:rsidR="001C53BC" w:rsidRPr="001C53BC" w:rsidRDefault="001C53BC" w:rsidP="001C53BC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Reported immediately.</w:t>
      </w:r>
    </w:p>
    <w:p w14:paraId="71EC4282" w14:textId="77777777" w:rsidR="001C53BC" w:rsidRPr="001C53BC" w:rsidRDefault="001C53BC" w:rsidP="001C53BC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Recorded as an incident.</w:t>
      </w:r>
    </w:p>
    <w:p w14:paraId="0FC05B22" w14:textId="77777777" w:rsidR="001C53BC" w:rsidRPr="001C53BC" w:rsidRDefault="001C53BC" w:rsidP="001C53BC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Investigated by authorized personnel.</w:t>
      </w:r>
    </w:p>
    <w:p w14:paraId="6174DC06" w14:textId="77777777" w:rsidR="001C53BC" w:rsidRPr="001C53BC" w:rsidRDefault="001C53BC" w:rsidP="001C53BC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Subject to corrective action.</w:t>
      </w:r>
    </w:p>
    <w:p w14:paraId="5B29C69E" w14:textId="77777777" w:rsidR="001C53BC" w:rsidRPr="001C53BC" w:rsidRDefault="001C53BC" w:rsidP="001C53BC">
      <w:pPr>
        <w:numPr>
          <w:ilvl w:val="0"/>
          <w:numId w:val="15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Reviewed during management review activities.</w:t>
      </w:r>
    </w:p>
    <w:p w14:paraId="6CB57F93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 xml:space="preserve">Where appropriate, affected parties </w:t>
      </w:r>
      <w:proofErr w:type="gramStart"/>
      <w:r w:rsidRPr="001C53BC">
        <w:rPr>
          <w:sz w:val="20"/>
          <w:szCs w:val="20"/>
        </w:rPr>
        <w:t>shall</w:t>
      </w:r>
      <w:proofErr w:type="gramEnd"/>
      <w:r w:rsidRPr="001C53BC">
        <w:rPr>
          <w:sz w:val="20"/>
          <w:szCs w:val="20"/>
        </w:rPr>
        <w:t xml:space="preserve"> be informed.</w:t>
      </w:r>
    </w:p>
    <w:p w14:paraId="7DBA69C5" w14:textId="3DFEA4D0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Serious breaches may result in disciplinary action, contract termination, withdrawal of authorization, or legal action.</w:t>
      </w:r>
      <w:r>
        <w:rPr>
          <w:sz w:val="20"/>
          <w:szCs w:val="20"/>
        </w:rPr>
        <w:br/>
      </w:r>
      <w:r w:rsidRPr="001C53BC">
        <w:rPr>
          <w:b/>
          <w:bCs/>
          <w:sz w:val="20"/>
          <w:szCs w:val="20"/>
        </w:rPr>
        <w:t xml:space="preserve"> </w:t>
      </w:r>
      <w:r w:rsidRPr="001C53BC">
        <w:rPr>
          <w:b/>
          <w:bCs/>
          <w:sz w:val="20"/>
          <w:szCs w:val="20"/>
        </w:rPr>
        <w:t>13. Record Retention and Disposal</w:t>
      </w:r>
    </w:p>
    <w:p w14:paraId="7378A96B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Confidential records shall be:</w:t>
      </w:r>
    </w:p>
    <w:p w14:paraId="77085BA3" w14:textId="77777777" w:rsidR="001C53BC" w:rsidRPr="001C53BC" w:rsidRDefault="001C53BC" w:rsidP="001C53BC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 xml:space="preserve">Retained in accordance with </w:t>
      </w:r>
      <w:proofErr w:type="spellStart"/>
      <w:r w:rsidRPr="001C53BC">
        <w:rPr>
          <w:sz w:val="20"/>
          <w:szCs w:val="20"/>
        </w:rPr>
        <w:t>QGCert</w:t>
      </w:r>
      <w:proofErr w:type="spellEnd"/>
      <w:r w:rsidRPr="001C53BC">
        <w:rPr>
          <w:sz w:val="20"/>
          <w:szCs w:val="20"/>
        </w:rPr>
        <w:t xml:space="preserve"> record retention requirements.</w:t>
      </w:r>
    </w:p>
    <w:p w14:paraId="16B08077" w14:textId="77777777" w:rsidR="001C53BC" w:rsidRPr="001C53BC" w:rsidRDefault="001C53BC" w:rsidP="001C53BC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Protected throughout their retention period.</w:t>
      </w:r>
    </w:p>
    <w:p w14:paraId="0C3D1FA3" w14:textId="77777777" w:rsidR="001C53BC" w:rsidRPr="001C53BC" w:rsidRDefault="001C53BC" w:rsidP="001C53BC">
      <w:pPr>
        <w:numPr>
          <w:ilvl w:val="0"/>
          <w:numId w:val="16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Securely disposed of when retention periods expire.</w:t>
      </w:r>
    </w:p>
    <w:p w14:paraId="1FF371DB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Disposal methods may include:</w:t>
      </w:r>
    </w:p>
    <w:p w14:paraId="59639687" w14:textId="77777777" w:rsidR="001C53BC" w:rsidRPr="001C53BC" w:rsidRDefault="001C53BC" w:rsidP="001C53BC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 shredding</w:t>
      </w:r>
    </w:p>
    <w:p w14:paraId="5C92AD2E" w14:textId="77777777" w:rsidR="001C53BC" w:rsidRPr="001C53BC" w:rsidRDefault="001C53BC" w:rsidP="001C53BC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Permanent deletion</w:t>
      </w:r>
    </w:p>
    <w:p w14:paraId="020AAC62" w14:textId="77777777" w:rsidR="001C53BC" w:rsidRPr="001C53BC" w:rsidRDefault="001C53BC" w:rsidP="001C53BC">
      <w:pPr>
        <w:numPr>
          <w:ilvl w:val="0"/>
          <w:numId w:val="17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Secure destruction of electronic media</w:t>
      </w:r>
    </w:p>
    <w:p w14:paraId="55B2A130" w14:textId="52C1CFB0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b/>
          <w:bCs/>
          <w:sz w:val="20"/>
          <w:szCs w:val="20"/>
        </w:rPr>
        <w:t>14. Responsibilities</w:t>
      </w:r>
    </w:p>
    <w:tbl>
      <w:tblPr>
        <w:tblW w:w="92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6163"/>
      </w:tblGrid>
      <w:tr w:rsidR="001C53BC" w:rsidRPr="001C53BC" w14:paraId="34C972F7" w14:textId="77777777" w:rsidTr="001C53BC">
        <w:trPr>
          <w:trHeight w:val="406"/>
          <w:tblCellSpacing w:w="15" w:type="dxa"/>
        </w:trPr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40DE88BA" w14:textId="77777777" w:rsidR="001C53BC" w:rsidRPr="001C53BC" w:rsidRDefault="001C53BC" w:rsidP="001C53B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C53BC">
              <w:rPr>
                <w:b/>
                <w:bCs/>
                <w:sz w:val="20"/>
                <w:szCs w:val="20"/>
              </w:rPr>
              <w:t>Function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34301CB1" w14:textId="77777777" w:rsidR="001C53BC" w:rsidRPr="001C53BC" w:rsidRDefault="001C53BC" w:rsidP="001C53B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C53BC">
              <w:rPr>
                <w:b/>
                <w:bCs/>
                <w:sz w:val="20"/>
                <w:szCs w:val="20"/>
              </w:rPr>
              <w:t>Responsibility</w:t>
            </w:r>
          </w:p>
        </w:tc>
      </w:tr>
      <w:tr w:rsidR="001C53BC" w:rsidRPr="001C53BC" w14:paraId="311BD42D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2F4C3E34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Head of Certification</w:t>
            </w:r>
          </w:p>
        </w:tc>
        <w:tc>
          <w:tcPr>
            <w:tcW w:w="0" w:type="auto"/>
            <w:vAlign w:val="center"/>
            <w:hideMark/>
          </w:tcPr>
          <w:p w14:paraId="1AFB2DE1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Overall accountability for confidentiality</w:t>
            </w:r>
          </w:p>
        </w:tc>
      </w:tr>
      <w:tr w:rsidR="001C53BC" w:rsidRPr="001C53BC" w14:paraId="08D6C3DE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13A7881C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Quality Manager</w:t>
            </w:r>
          </w:p>
        </w:tc>
        <w:tc>
          <w:tcPr>
            <w:tcW w:w="0" w:type="auto"/>
            <w:vAlign w:val="center"/>
            <w:hideMark/>
          </w:tcPr>
          <w:p w14:paraId="1D1D51C5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Monitoring implementation of confidentiality controls</w:t>
            </w:r>
          </w:p>
        </w:tc>
      </w:tr>
      <w:tr w:rsidR="001C53BC" w:rsidRPr="001C53BC" w14:paraId="33CCC284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3224D233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Technical Manager</w:t>
            </w:r>
          </w:p>
        </w:tc>
        <w:tc>
          <w:tcPr>
            <w:tcW w:w="0" w:type="auto"/>
            <w:vAlign w:val="center"/>
            <w:hideMark/>
          </w:tcPr>
          <w:p w14:paraId="49A0AAFF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Protection of examination and technical information</w:t>
            </w:r>
          </w:p>
        </w:tc>
      </w:tr>
      <w:tr w:rsidR="001C53BC" w:rsidRPr="001C53BC" w14:paraId="51ABECCB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514F1F8A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Examiners and Invigilators</w:t>
            </w:r>
          </w:p>
        </w:tc>
        <w:tc>
          <w:tcPr>
            <w:tcW w:w="0" w:type="auto"/>
            <w:vAlign w:val="center"/>
            <w:hideMark/>
          </w:tcPr>
          <w:p w14:paraId="6379C5F3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Maintaining confidentiality of examination materials</w:t>
            </w:r>
          </w:p>
        </w:tc>
      </w:tr>
      <w:tr w:rsidR="001C53BC" w:rsidRPr="001C53BC" w14:paraId="4EF4D542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4BA808B4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Certification Personnel</w:t>
            </w:r>
          </w:p>
        </w:tc>
        <w:tc>
          <w:tcPr>
            <w:tcW w:w="0" w:type="auto"/>
            <w:vAlign w:val="center"/>
            <w:hideMark/>
          </w:tcPr>
          <w:p w14:paraId="0862BCE2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 xml:space="preserve">Protection of </w:t>
            </w:r>
            <w:proofErr w:type="gramStart"/>
            <w:r w:rsidRPr="001C53BC">
              <w:rPr>
                <w:sz w:val="20"/>
                <w:szCs w:val="20"/>
              </w:rPr>
              <w:t>candidate</w:t>
            </w:r>
            <w:proofErr w:type="gramEnd"/>
            <w:r w:rsidRPr="001C53BC">
              <w:rPr>
                <w:sz w:val="20"/>
                <w:szCs w:val="20"/>
              </w:rPr>
              <w:t xml:space="preserve"> and certification information</w:t>
            </w:r>
          </w:p>
        </w:tc>
      </w:tr>
      <w:tr w:rsidR="001C53BC" w:rsidRPr="001C53BC" w14:paraId="50F668FC" w14:textId="77777777" w:rsidTr="001C53BC">
        <w:trPr>
          <w:trHeight w:val="406"/>
          <w:tblCellSpacing w:w="15" w:type="dxa"/>
        </w:trPr>
        <w:tc>
          <w:tcPr>
            <w:tcW w:w="0" w:type="auto"/>
            <w:vAlign w:val="center"/>
            <w:hideMark/>
          </w:tcPr>
          <w:p w14:paraId="21A636CB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Outsourced Providers</w:t>
            </w:r>
          </w:p>
        </w:tc>
        <w:tc>
          <w:tcPr>
            <w:tcW w:w="0" w:type="auto"/>
            <w:vAlign w:val="center"/>
            <w:hideMark/>
          </w:tcPr>
          <w:p w14:paraId="0090E038" w14:textId="77777777" w:rsidR="001C53BC" w:rsidRPr="001C53BC" w:rsidRDefault="001C53BC" w:rsidP="001C53BC">
            <w:pPr>
              <w:spacing w:line="240" w:lineRule="auto"/>
              <w:rPr>
                <w:sz w:val="20"/>
                <w:szCs w:val="20"/>
              </w:rPr>
            </w:pPr>
            <w:r w:rsidRPr="001C53BC">
              <w:rPr>
                <w:sz w:val="20"/>
                <w:szCs w:val="20"/>
              </w:rPr>
              <w:t>Compliance with confidentiality obligations</w:t>
            </w:r>
          </w:p>
        </w:tc>
      </w:tr>
    </w:tbl>
    <w:p w14:paraId="18265E92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pict w14:anchorId="65A38441">
          <v:rect id="_x0000_i1135" style="width:0;height:1.5pt" o:hralign="center" o:hrstd="t" o:hr="t" fillcolor="#a0a0a0" stroked="f"/>
        </w:pict>
      </w:r>
    </w:p>
    <w:p w14:paraId="1306CFDF" w14:textId="77777777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15. Policy Review</w:t>
      </w:r>
    </w:p>
    <w:p w14:paraId="076166C5" w14:textId="77777777" w:rsidR="001C53BC" w:rsidRPr="001C53BC" w:rsidRDefault="001C53BC" w:rsidP="001C53BC">
      <w:p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This policy shall be reviewed:</w:t>
      </w:r>
    </w:p>
    <w:p w14:paraId="3EB0555B" w14:textId="77777777" w:rsidR="001C53BC" w:rsidRPr="001C53BC" w:rsidRDefault="001C53BC" w:rsidP="001C53BC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At least annually;</w:t>
      </w:r>
    </w:p>
    <w:p w14:paraId="0DC749F8" w14:textId="77777777" w:rsidR="001C53BC" w:rsidRPr="001C53BC" w:rsidRDefault="001C53BC" w:rsidP="001C53BC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Following significant organizational changes;</w:t>
      </w:r>
    </w:p>
    <w:p w14:paraId="316D74A1" w14:textId="77777777" w:rsidR="001C53BC" w:rsidRPr="001C53BC" w:rsidRDefault="001C53BC" w:rsidP="001C53BC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Following information security incidents;</w:t>
      </w:r>
    </w:p>
    <w:p w14:paraId="1BB46B29" w14:textId="2274A68C" w:rsidR="001C53BC" w:rsidRPr="001C53BC" w:rsidRDefault="001C53BC" w:rsidP="001C53BC">
      <w:pPr>
        <w:numPr>
          <w:ilvl w:val="0"/>
          <w:numId w:val="18"/>
        </w:numPr>
        <w:spacing w:line="240" w:lineRule="auto"/>
        <w:rPr>
          <w:sz w:val="20"/>
          <w:szCs w:val="20"/>
        </w:rPr>
      </w:pPr>
      <w:r w:rsidRPr="001C53BC">
        <w:rPr>
          <w:sz w:val="20"/>
          <w:szCs w:val="20"/>
        </w:rPr>
        <w:t>Following accreditation requirements changes.</w:t>
      </w:r>
    </w:p>
    <w:p w14:paraId="242E35FC" w14:textId="70260BB1" w:rsidR="001C53BC" w:rsidRPr="001C53BC" w:rsidRDefault="001C53BC" w:rsidP="001C53BC">
      <w:pPr>
        <w:spacing w:line="240" w:lineRule="auto"/>
        <w:rPr>
          <w:b/>
          <w:bCs/>
          <w:sz w:val="20"/>
          <w:szCs w:val="20"/>
        </w:rPr>
      </w:pPr>
      <w:r w:rsidRPr="001C53BC">
        <w:rPr>
          <w:b/>
          <w:bCs/>
          <w:sz w:val="20"/>
          <w:szCs w:val="20"/>
        </w:rPr>
        <w:t>16. Policy Approval</w:t>
      </w:r>
    </w:p>
    <w:sectPr w:rsidR="001C53BC" w:rsidRPr="001C53BC" w:rsidSect="000463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D61F" w14:textId="77777777" w:rsidR="00A976CB" w:rsidRDefault="00A976CB" w:rsidP="001C53BC">
      <w:pPr>
        <w:spacing w:after="0" w:line="240" w:lineRule="auto"/>
      </w:pPr>
      <w:r>
        <w:separator/>
      </w:r>
    </w:p>
  </w:endnote>
  <w:endnote w:type="continuationSeparator" w:id="0">
    <w:p w14:paraId="4B80237B" w14:textId="77777777" w:rsidR="00A976CB" w:rsidRDefault="00A976CB" w:rsidP="001C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337"/>
      <w:gridCol w:w="2337"/>
      <w:gridCol w:w="2071"/>
      <w:gridCol w:w="2605"/>
    </w:tblGrid>
    <w:tr w:rsidR="001C53BC" w14:paraId="46242002" w14:textId="77777777" w:rsidTr="001C53BC">
      <w:tc>
        <w:tcPr>
          <w:tcW w:w="2337" w:type="dxa"/>
        </w:tcPr>
        <w:p w14:paraId="626837E5" w14:textId="77777777" w:rsidR="001C53BC" w:rsidRDefault="001C53BC">
          <w:pPr>
            <w:pStyle w:val="Footer"/>
            <w:rPr>
              <w:sz w:val="20"/>
              <w:szCs w:val="20"/>
            </w:rPr>
          </w:pPr>
          <w:r w:rsidRPr="001C53BC">
            <w:rPr>
              <w:sz w:val="20"/>
              <w:szCs w:val="20"/>
            </w:rPr>
            <w:t>Prepared By</w:t>
          </w:r>
          <w:r>
            <w:rPr>
              <w:sz w:val="20"/>
              <w:szCs w:val="20"/>
            </w:rPr>
            <w:t>:</w:t>
          </w:r>
          <w:r w:rsidRPr="001C53BC">
            <w:rPr>
              <w:sz w:val="20"/>
              <w:szCs w:val="20"/>
            </w:rPr>
            <w:t xml:space="preserve"> </w:t>
          </w:r>
        </w:p>
        <w:p w14:paraId="0586E065" w14:textId="0BDE18C0" w:rsidR="001C53BC" w:rsidRDefault="001C53BC">
          <w:pPr>
            <w:pStyle w:val="Footer"/>
          </w:pPr>
          <w:r w:rsidRPr="001C53BC">
            <w:rPr>
              <w:sz w:val="20"/>
              <w:szCs w:val="20"/>
            </w:rPr>
            <w:t>Quality Manager</w:t>
          </w:r>
        </w:p>
      </w:tc>
      <w:tc>
        <w:tcPr>
          <w:tcW w:w="2337" w:type="dxa"/>
        </w:tcPr>
        <w:p w14:paraId="5BFE4435" w14:textId="77777777" w:rsidR="001C53BC" w:rsidRDefault="001C53BC">
          <w:pPr>
            <w:pStyle w:val="Footer"/>
            <w:rPr>
              <w:sz w:val="20"/>
              <w:szCs w:val="20"/>
            </w:rPr>
          </w:pPr>
          <w:r w:rsidRPr="001C53BC">
            <w:rPr>
              <w:sz w:val="20"/>
              <w:szCs w:val="20"/>
            </w:rPr>
            <w:t>Reviewed By</w:t>
          </w:r>
          <w:r>
            <w:rPr>
              <w:sz w:val="20"/>
              <w:szCs w:val="20"/>
            </w:rPr>
            <w:t>:</w:t>
          </w:r>
        </w:p>
        <w:p w14:paraId="225B3545" w14:textId="448B9319" w:rsidR="001C53BC" w:rsidRDefault="001C53BC">
          <w:pPr>
            <w:pStyle w:val="Footer"/>
          </w:pPr>
          <w:r w:rsidRPr="001C53BC">
            <w:rPr>
              <w:sz w:val="20"/>
              <w:szCs w:val="20"/>
            </w:rPr>
            <w:t>Technical Manager</w:t>
          </w:r>
        </w:p>
      </w:tc>
      <w:tc>
        <w:tcPr>
          <w:tcW w:w="2071" w:type="dxa"/>
        </w:tcPr>
        <w:p w14:paraId="17127E30" w14:textId="77777777" w:rsidR="001C53BC" w:rsidRDefault="001C53BC">
          <w:pPr>
            <w:pStyle w:val="Footer"/>
            <w:rPr>
              <w:sz w:val="20"/>
              <w:szCs w:val="20"/>
            </w:rPr>
          </w:pPr>
          <w:r w:rsidRPr="001C53BC">
            <w:rPr>
              <w:sz w:val="20"/>
              <w:szCs w:val="20"/>
            </w:rPr>
            <w:t>Effective Date</w:t>
          </w:r>
          <w:r>
            <w:rPr>
              <w:sz w:val="20"/>
              <w:szCs w:val="20"/>
            </w:rPr>
            <w:t>:</w:t>
          </w:r>
        </w:p>
        <w:p w14:paraId="201762D9" w14:textId="3B7FC7B0" w:rsidR="001C53BC" w:rsidRDefault="001C53BC">
          <w:pPr>
            <w:pStyle w:val="Footer"/>
          </w:pPr>
          <w:r w:rsidRPr="001C53BC">
            <w:rPr>
              <w:sz w:val="20"/>
              <w:szCs w:val="20"/>
            </w:rPr>
            <w:t>15/06/2026</w:t>
          </w:r>
        </w:p>
      </w:tc>
      <w:tc>
        <w:tcPr>
          <w:tcW w:w="2605" w:type="dxa"/>
        </w:tcPr>
        <w:p w14:paraId="2449D817" w14:textId="77777777" w:rsidR="001C53BC" w:rsidRDefault="001C53BC">
          <w:pPr>
            <w:pStyle w:val="Footer"/>
            <w:rPr>
              <w:sz w:val="20"/>
              <w:szCs w:val="20"/>
            </w:rPr>
          </w:pPr>
          <w:r w:rsidRPr="001C53BC">
            <w:rPr>
              <w:sz w:val="20"/>
              <w:szCs w:val="20"/>
            </w:rPr>
            <w:t>Approved By</w:t>
          </w:r>
          <w:r>
            <w:rPr>
              <w:sz w:val="20"/>
              <w:szCs w:val="20"/>
            </w:rPr>
            <w:t>:</w:t>
          </w:r>
        </w:p>
        <w:p w14:paraId="0993B413" w14:textId="77777777" w:rsidR="001C53BC" w:rsidRDefault="001C53BC">
          <w:pPr>
            <w:pStyle w:val="Footer"/>
            <w:rPr>
              <w:sz w:val="20"/>
              <w:szCs w:val="20"/>
            </w:rPr>
          </w:pPr>
          <w:r w:rsidRPr="001C53BC">
            <w:rPr>
              <w:sz w:val="20"/>
              <w:szCs w:val="20"/>
            </w:rPr>
            <w:t>Head of Certification</w:t>
          </w:r>
        </w:p>
        <w:p w14:paraId="3C37DCF3" w14:textId="3FF3B5BC" w:rsidR="001C53BC" w:rsidRDefault="001C53BC">
          <w:pPr>
            <w:pStyle w:val="Footer"/>
          </w:pPr>
        </w:p>
      </w:tc>
    </w:tr>
  </w:tbl>
  <w:p w14:paraId="492F8F80" w14:textId="77777777" w:rsidR="001C53BC" w:rsidRDefault="001C53BC" w:rsidP="001C5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8477" w14:textId="77777777" w:rsidR="00A976CB" w:rsidRDefault="00A976CB" w:rsidP="001C53BC">
      <w:pPr>
        <w:spacing w:after="0" w:line="240" w:lineRule="auto"/>
      </w:pPr>
      <w:r>
        <w:separator/>
      </w:r>
    </w:p>
  </w:footnote>
  <w:footnote w:type="continuationSeparator" w:id="0">
    <w:p w14:paraId="58B3FB5B" w14:textId="77777777" w:rsidR="00A976CB" w:rsidRDefault="00A976CB" w:rsidP="001C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79" w:type="dxa"/>
      <w:jc w:val="center"/>
      <w:tblLook w:val="04A0" w:firstRow="1" w:lastRow="0" w:firstColumn="1" w:lastColumn="0" w:noHBand="0" w:noVBand="1"/>
    </w:tblPr>
    <w:tblGrid>
      <w:gridCol w:w="2335"/>
      <w:gridCol w:w="3809"/>
      <w:gridCol w:w="1689"/>
      <w:gridCol w:w="1646"/>
    </w:tblGrid>
    <w:tr w:rsidR="001C53BC" w14:paraId="79BB7494" w14:textId="77777777" w:rsidTr="00967CE2">
      <w:trPr>
        <w:trHeight w:val="379"/>
        <w:jc w:val="center"/>
      </w:trPr>
      <w:tc>
        <w:tcPr>
          <w:tcW w:w="2335" w:type="dxa"/>
          <w:vMerge w:val="restart"/>
        </w:tcPr>
        <w:p w14:paraId="33305B3F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</w:p>
        <w:p w14:paraId="61294D23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  <w:r>
            <w:rPr>
              <w:noProof/>
            </w:rPr>
            <w:drawing>
              <wp:inline distT="0" distB="0" distL="0" distR="0" wp14:anchorId="119DC967" wp14:editId="6D442173">
                <wp:extent cx="1156137" cy="630317"/>
                <wp:effectExtent l="0" t="0" r="6350" b="0"/>
                <wp:docPr id="202285409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7571" cy="636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811BF9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</w:p>
      </w:tc>
      <w:tc>
        <w:tcPr>
          <w:tcW w:w="3809" w:type="dxa"/>
          <w:vMerge w:val="restart"/>
        </w:tcPr>
        <w:p w14:paraId="5C1AD448" w14:textId="77777777" w:rsidR="001C53BC" w:rsidRDefault="001C53BC" w:rsidP="001C53BC">
          <w:pPr>
            <w:spacing w:after="160"/>
            <w:jc w:val="center"/>
            <w:rPr>
              <w:b/>
              <w:bCs/>
              <w:sz w:val="21"/>
              <w:szCs w:val="21"/>
            </w:rPr>
          </w:pPr>
        </w:p>
        <w:p w14:paraId="1205AC92" w14:textId="2711B8FB" w:rsidR="001C53BC" w:rsidRPr="00386545" w:rsidRDefault="001C53BC" w:rsidP="001C53BC">
          <w:pPr>
            <w:spacing w:after="160"/>
            <w:jc w:val="center"/>
            <w:rPr>
              <w:b/>
              <w:bCs/>
              <w:sz w:val="18"/>
              <w:szCs w:val="18"/>
            </w:rPr>
          </w:pPr>
          <w:r w:rsidRPr="00386545">
            <w:rPr>
              <w:b/>
              <w:bCs/>
              <w:sz w:val="18"/>
              <w:szCs w:val="18"/>
            </w:rPr>
            <w:t xml:space="preserve">CONFIDENTIALITY POLICY </w:t>
          </w:r>
        </w:p>
        <w:p w14:paraId="40E30F8F" w14:textId="37494C6C" w:rsidR="001C53BC" w:rsidRPr="009A3905" w:rsidRDefault="001C53BC" w:rsidP="001C53BC">
          <w:pPr>
            <w:spacing w:after="160"/>
            <w:jc w:val="center"/>
            <w:rPr>
              <w:b/>
              <w:bCs/>
              <w:sz w:val="16"/>
              <w:szCs w:val="16"/>
            </w:rPr>
          </w:pPr>
          <w:r w:rsidRPr="00386545">
            <w:rPr>
              <w:b/>
              <w:bCs/>
              <w:sz w:val="18"/>
              <w:szCs w:val="18"/>
            </w:rPr>
            <w:t>ISO/IEC 17024:2026- Conformity Assessment – General Requirements for Bodies Operating Certification of Persons</w:t>
          </w:r>
        </w:p>
      </w:tc>
      <w:tc>
        <w:tcPr>
          <w:tcW w:w="1689" w:type="dxa"/>
        </w:tcPr>
        <w:p w14:paraId="61D8B5EB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>Doc: Ref:</w:t>
          </w:r>
        </w:p>
      </w:tc>
      <w:tc>
        <w:tcPr>
          <w:tcW w:w="1646" w:type="dxa"/>
        </w:tcPr>
        <w:p w14:paraId="51C7D176" w14:textId="02C5F6C1" w:rsidR="001C53BC" w:rsidRPr="009A3905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b/>
              <w:bCs/>
              <w:sz w:val="21"/>
              <w:szCs w:val="21"/>
            </w:rPr>
          </w:pPr>
          <w:r w:rsidRPr="009A3905">
            <w:rPr>
              <w:b/>
              <w:bCs/>
              <w:sz w:val="21"/>
              <w:szCs w:val="21"/>
            </w:rPr>
            <w:t>QGC-POL-0</w:t>
          </w:r>
          <w:r>
            <w:rPr>
              <w:b/>
              <w:bCs/>
              <w:sz w:val="21"/>
              <w:szCs w:val="21"/>
            </w:rPr>
            <w:t>3</w:t>
          </w:r>
        </w:p>
      </w:tc>
    </w:tr>
    <w:tr w:rsidR="001C53BC" w14:paraId="75AD3E40" w14:textId="77777777" w:rsidTr="00967CE2">
      <w:trPr>
        <w:trHeight w:val="367"/>
        <w:jc w:val="center"/>
      </w:trPr>
      <w:tc>
        <w:tcPr>
          <w:tcW w:w="2335" w:type="dxa"/>
          <w:vMerge/>
        </w:tcPr>
        <w:p w14:paraId="2774545E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</w:p>
      </w:tc>
      <w:tc>
        <w:tcPr>
          <w:tcW w:w="3809" w:type="dxa"/>
          <w:vMerge/>
        </w:tcPr>
        <w:p w14:paraId="34D564B4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</w:p>
      </w:tc>
      <w:tc>
        <w:tcPr>
          <w:tcW w:w="1689" w:type="dxa"/>
        </w:tcPr>
        <w:p w14:paraId="79851CF6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>Issue Date:</w:t>
          </w:r>
        </w:p>
      </w:tc>
      <w:tc>
        <w:tcPr>
          <w:tcW w:w="1646" w:type="dxa"/>
        </w:tcPr>
        <w:p w14:paraId="02B505D4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>01/06/2026</w:t>
          </w:r>
        </w:p>
      </w:tc>
    </w:tr>
    <w:tr w:rsidR="001C53BC" w14:paraId="0E4AD124" w14:textId="77777777" w:rsidTr="00967CE2">
      <w:trPr>
        <w:trHeight w:val="346"/>
        <w:jc w:val="center"/>
      </w:trPr>
      <w:tc>
        <w:tcPr>
          <w:tcW w:w="2335" w:type="dxa"/>
          <w:vMerge/>
        </w:tcPr>
        <w:p w14:paraId="123A0BDA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</w:p>
      </w:tc>
      <w:tc>
        <w:tcPr>
          <w:tcW w:w="3809" w:type="dxa"/>
          <w:vMerge/>
        </w:tcPr>
        <w:p w14:paraId="57E55248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</w:p>
      </w:tc>
      <w:tc>
        <w:tcPr>
          <w:tcW w:w="1689" w:type="dxa"/>
        </w:tcPr>
        <w:p w14:paraId="139274D1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 xml:space="preserve">Rev: </w:t>
          </w:r>
        </w:p>
      </w:tc>
      <w:tc>
        <w:tcPr>
          <w:tcW w:w="1646" w:type="dxa"/>
        </w:tcPr>
        <w:p w14:paraId="74983589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>0.0</w:t>
          </w:r>
        </w:p>
      </w:tc>
    </w:tr>
    <w:tr w:rsidR="001C53BC" w14:paraId="29F75C54" w14:textId="77777777" w:rsidTr="00967CE2">
      <w:trPr>
        <w:trHeight w:val="302"/>
        <w:jc w:val="center"/>
      </w:trPr>
      <w:tc>
        <w:tcPr>
          <w:tcW w:w="2335" w:type="dxa"/>
          <w:vMerge/>
        </w:tcPr>
        <w:p w14:paraId="67461C08" w14:textId="77777777" w:rsidR="001C53BC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</w:pPr>
        </w:p>
      </w:tc>
      <w:tc>
        <w:tcPr>
          <w:tcW w:w="3809" w:type="dxa"/>
          <w:vMerge/>
        </w:tcPr>
        <w:p w14:paraId="07AE4377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</w:p>
      </w:tc>
      <w:tc>
        <w:tcPr>
          <w:tcW w:w="1689" w:type="dxa"/>
        </w:tcPr>
        <w:p w14:paraId="435ED691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 xml:space="preserve">Effective Date: </w:t>
          </w:r>
        </w:p>
      </w:tc>
      <w:tc>
        <w:tcPr>
          <w:tcW w:w="1646" w:type="dxa"/>
        </w:tcPr>
        <w:p w14:paraId="285A4435" w14:textId="77777777" w:rsidR="001C53BC" w:rsidRPr="00D12EA2" w:rsidRDefault="001C53BC" w:rsidP="001C53BC">
          <w:pPr>
            <w:pStyle w:val="Header"/>
            <w:tabs>
              <w:tab w:val="clear" w:pos="4680"/>
              <w:tab w:val="clear" w:pos="9360"/>
              <w:tab w:val="left" w:pos="2257"/>
            </w:tabs>
            <w:rPr>
              <w:sz w:val="21"/>
              <w:szCs w:val="21"/>
            </w:rPr>
          </w:pPr>
          <w:r w:rsidRPr="00D12EA2">
            <w:rPr>
              <w:sz w:val="21"/>
              <w:szCs w:val="21"/>
            </w:rPr>
            <w:t>15/06/2026</w:t>
          </w:r>
        </w:p>
      </w:tc>
    </w:tr>
  </w:tbl>
  <w:p w14:paraId="3C1FF472" w14:textId="77777777" w:rsidR="001C53BC" w:rsidRDefault="001C5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4E57"/>
    <w:multiLevelType w:val="multilevel"/>
    <w:tmpl w:val="29E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35957"/>
    <w:multiLevelType w:val="multilevel"/>
    <w:tmpl w:val="29DA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A1680"/>
    <w:multiLevelType w:val="multilevel"/>
    <w:tmpl w:val="C25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8347A"/>
    <w:multiLevelType w:val="multilevel"/>
    <w:tmpl w:val="F004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B3A93"/>
    <w:multiLevelType w:val="multilevel"/>
    <w:tmpl w:val="B78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34847"/>
    <w:multiLevelType w:val="multilevel"/>
    <w:tmpl w:val="2968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70752"/>
    <w:multiLevelType w:val="multilevel"/>
    <w:tmpl w:val="01CC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24DFB"/>
    <w:multiLevelType w:val="multilevel"/>
    <w:tmpl w:val="D414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C46E7"/>
    <w:multiLevelType w:val="multilevel"/>
    <w:tmpl w:val="813E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03730"/>
    <w:multiLevelType w:val="multilevel"/>
    <w:tmpl w:val="BB24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8116EA"/>
    <w:multiLevelType w:val="multilevel"/>
    <w:tmpl w:val="92B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F43BB"/>
    <w:multiLevelType w:val="multilevel"/>
    <w:tmpl w:val="3580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327EC3"/>
    <w:multiLevelType w:val="multilevel"/>
    <w:tmpl w:val="8724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82B6C"/>
    <w:multiLevelType w:val="multilevel"/>
    <w:tmpl w:val="1AF2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B7674"/>
    <w:multiLevelType w:val="multilevel"/>
    <w:tmpl w:val="2530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C083D"/>
    <w:multiLevelType w:val="multilevel"/>
    <w:tmpl w:val="63C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484CD3"/>
    <w:multiLevelType w:val="multilevel"/>
    <w:tmpl w:val="0EBE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DF4D02"/>
    <w:multiLevelType w:val="multilevel"/>
    <w:tmpl w:val="0728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754402">
    <w:abstractNumId w:val="1"/>
  </w:num>
  <w:num w:numId="2" w16cid:durableId="109008304">
    <w:abstractNumId w:val="8"/>
  </w:num>
  <w:num w:numId="3" w16cid:durableId="995304839">
    <w:abstractNumId w:val="17"/>
  </w:num>
  <w:num w:numId="4" w16cid:durableId="623392464">
    <w:abstractNumId w:val="13"/>
  </w:num>
  <w:num w:numId="5" w16cid:durableId="785393634">
    <w:abstractNumId w:val="4"/>
  </w:num>
  <w:num w:numId="6" w16cid:durableId="1104035761">
    <w:abstractNumId w:val="7"/>
  </w:num>
  <w:num w:numId="7" w16cid:durableId="64647908">
    <w:abstractNumId w:val="5"/>
  </w:num>
  <w:num w:numId="8" w16cid:durableId="336080779">
    <w:abstractNumId w:val="12"/>
  </w:num>
  <w:num w:numId="9" w16cid:durableId="1912036209">
    <w:abstractNumId w:val="6"/>
  </w:num>
  <w:num w:numId="10" w16cid:durableId="1375501283">
    <w:abstractNumId w:val="10"/>
  </w:num>
  <w:num w:numId="11" w16cid:durableId="955989782">
    <w:abstractNumId w:val="3"/>
  </w:num>
  <w:num w:numId="12" w16cid:durableId="763376628">
    <w:abstractNumId w:val="15"/>
  </w:num>
  <w:num w:numId="13" w16cid:durableId="38631652">
    <w:abstractNumId w:val="11"/>
  </w:num>
  <w:num w:numId="14" w16cid:durableId="681443370">
    <w:abstractNumId w:val="2"/>
  </w:num>
  <w:num w:numId="15" w16cid:durableId="1668513790">
    <w:abstractNumId w:val="0"/>
  </w:num>
  <w:num w:numId="16" w16cid:durableId="298267776">
    <w:abstractNumId w:val="16"/>
  </w:num>
  <w:num w:numId="17" w16cid:durableId="743527980">
    <w:abstractNumId w:val="14"/>
  </w:num>
  <w:num w:numId="18" w16cid:durableId="1170407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BC"/>
    <w:rsid w:val="0004631E"/>
    <w:rsid w:val="001C53BC"/>
    <w:rsid w:val="00386545"/>
    <w:rsid w:val="00502004"/>
    <w:rsid w:val="006B7098"/>
    <w:rsid w:val="00A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C31B"/>
  <w15:chartTrackingRefBased/>
  <w15:docId w15:val="{9598196D-9BA7-4078-B655-A5651CE9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3BC"/>
  </w:style>
  <w:style w:type="paragraph" w:styleId="Footer">
    <w:name w:val="footer"/>
    <w:basedOn w:val="Normal"/>
    <w:link w:val="FooterChar"/>
    <w:uiPriority w:val="99"/>
    <w:unhideWhenUsed/>
    <w:rsid w:val="001C5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3BC"/>
  </w:style>
  <w:style w:type="table" w:styleId="TableGrid">
    <w:name w:val="Table Grid"/>
    <w:basedOn w:val="TableNormal"/>
    <w:uiPriority w:val="39"/>
    <w:rsid w:val="001C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RENYA SAIN</dc:creator>
  <cp:keywords/>
  <dc:description/>
  <cp:lastModifiedBy>RENYA SAIN</cp:lastModifiedBy>
  <cp:revision>3</cp:revision>
  <dcterms:created xsi:type="dcterms:W3CDTF">2026-06-05T16:06:00Z</dcterms:created>
  <dcterms:modified xsi:type="dcterms:W3CDTF">2026-06-05T16:21:00Z</dcterms:modified>
</cp:coreProperties>
</file>